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360" w:lineRule="auto"/>
        <w:jc w:val="center"/>
        <w:rPr>
          <w:rFonts w:hint="eastAsia" w:ascii="宋体" w:hAnsi="宋体" w:eastAsia="宋体" w:cs="宋体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z w:val="36"/>
          <w:szCs w:val="36"/>
        </w:rPr>
        <w:t>泸州市兴泸远大建筑科技有限公司</w:t>
      </w:r>
    </w:p>
    <w:p>
      <w:pPr>
        <w:pStyle w:val="3"/>
        <w:spacing w:line="360" w:lineRule="auto"/>
        <w:jc w:val="center"/>
        <w:rPr>
          <w:rFonts w:ascii="宋体" w:hAnsi="宋体" w:eastAsia="宋体" w:cs="宋体"/>
          <w:color w:val="000000"/>
          <w:sz w:val="36"/>
          <w:szCs w:val="36"/>
        </w:rPr>
      </w:pPr>
      <w:r>
        <w:rPr>
          <w:rFonts w:hint="eastAsia" w:ascii="宋体" w:hAnsi="宋体" w:cs="宋体"/>
          <w:sz w:val="36"/>
          <w:szCs w:val="36"/>
        </w:rPr>
        <w:t>成都金科博翠山项目PC构件吊装外包</w:t>
      </w:r>
    </w:p>
    <w:p>
      <w:pPr>
        <w:spacing w:line="360" w:lineRule="auto"/>
        <w:ind w:firstLine="3896" w:firstLineChars="539"/>
        <w:rPr>
          <w:rFonts w:ascii="宋体" w:hAnsi="宋体" w:cs="宋体"/>
          <w:b/>
          <w:sz w:val="72"/>
          <w:szCs w:val="72"/>
        </w:rPr>
      </w:pPr>
    </w:p>
    <w:p>
      <w:pPr>
        <w:spacing w:line="1400" w:lineRule="exact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比</w:t>
      </w:r>
    </w:p>
    <w:p>
      <w:pPr>
        <w:spacing w:line="1400" w:lineRule="exact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选</w:t>
      </w:r>
    </w:p>
    <w:p>
      <w:pPr>
        <w:spacing w:line="1400" w:lineRule="exact"/>
        <w:jc w:val="center"/>
        <w:rPr>
          <w:rFonts w:hint="eastAsia" w:ascii="宋体" w:hAnsi="宋体" w:cs="宋体"/>
          <w:b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sz w:val="36"/>
          <w:szCs w:val="36"/>
          <w:lang w:eastAsia="zh-CN"/>
        </w:rPr>
        <w:t>公</w:t>
      </w:r>
    </w:p>
    <w:p>
      <w:pPr>
        <w:spacing w:line="1400" w:lineRule="exact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  <w:lang w:eastAsia="zh-CN"/>
        </w:rPr>
        <w:t>告</w:t>
      </w:r>
    </w:p>
    <w:p>
      <w:pPr>
        <w:spacing w:line="400" w:lineRule="exact"/>
        <w:ind w:firstLine="720" w:firstLineChars="200"/>
        <w:jc w:val="center"/>
        <w:rPr>
          <w:rFonts w:ascii="宋体" w:hAnsi="宋体" w:cs="宋体"/>
          <w:sz w:val="36"/>
          <w:szCs w:val="36"/>
        </w:rPr>
      </w:pPr>
    </w:p>
    <w:p>
      <w:pPr>
        <w:spacing w:line="400" w:lineRule="exact"/>
        <w:ind w:firstLine="720" w:firstLineChars="200"/>
        <w:jc w:val="center"/>
        <w:rPr>
          <w:rFonts w:ascii="宋体" w:hAnsi="宋体" w:cs="宋体"/>
          <w:sz w:val="36"/>
          <w:szCs w:val="36"/>
        </w:rPr>
      </w:pPr>
    </w:p>
    <w:p>
      <w:pPr>
        <w:spacing w:line="480" w:lineRule="auto"/>
        <w:rPr>
          <w:rFonts w:ascii="宋体" w:hAnsi="宋体" w:cs="宋体"/>
          <w:b/>
          <w:sz w:val="36"/>
          <w:szCs w:val="36"/>
        </w:rPr>
      </w:pPr>
    </w:p>
    <w:p>
      <w:pPr>
        <w:spacing w:line="480" w:lineRule="auto"/>
        <w:ind w:firstLine="723" w:firstLineChars="200"/>
        <w:jc w:val="center"/>
        <w:rPr>
          <w:rFonts w:ascii="宋体" w:hAnsi="宋体" w:cs="宋体"/>
          <w:b/>
          <w:sz w:val="36"/>
          <w:szCs w:val="36"/>
        </w:rPr>
      </w:pPr>
    </w:p>
    <w:p>
      <w:pPr>
        <w:spacing w:line="480" w:lineRule="auto"/>
        <w:rPr>
          <w:rFonts w:ascii="宋体" w:hAnsi="宋体" w:cs="宋体"/>
          <w:b/>
          <w:sz w:val="36"/>
          <w:szCs w:val="36"/>
        </w:rPr>
      </w:pPr>
    </w:p>
    <w:p>
      <w:pPr>
        <w:spacing w:line="480" w:lineRule="auto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泸州市兴泸远大建筑科技有限公司</w:t>
      </w:r>
    </w:p>
    <w:p>
      <w:pPr>
        <w:spacing w:line="480" w:lineRule="auto"/>
        <w:jc w:val="center"/>
        <w:rPr>
          <w:rFonts w:ascii="宋体" w:hAnsi="宋体" w:cs="宋体"/>
          <w:sz w:val="32"/>
          <w:szCs w:val="32"/>
        </w:rPr>
        <w:sectPr>
          <w:footerReference r:id="rId7" w:type="first"/>
          <w:headerReference r:id="rId3" w:type="default"/>
          <w:footerReference r:id="rId5" w:type="default"/>
          <w:headerReference r:id="rId4" w:type="even"/>
          <w:footerReference r:id="rId6" w:type="even"/>
          <w:pgSz w:w="11907" w:h="16840"/>
          <w:pgMar w:top="1134" w:right="1134" w:bottom="1134" w:left="1418" w:header="0" w:footer="567" w:gutter="0"/>
          <w:pgNumType w:fmt="numberInDash" w:start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 w:cs="宋体"/>
          <w:b/>
          <w:sz w:val="32"/>
          <w:szCs w:val="32"/>
        </w:rPr>
        <w:t>2020年</w:t>
      </w:r>
      <w:r>
        <w:rPr>
          <w:rFonts w:hint="eastAsia" w:ascii="宋体" w:hAnsi="宋体" w:cs="宋体"/>
          <w:b/>
          <w:sz w:val="32"/>
          <w:szCs w:val="32"/>
          <w:lang w:val="en-US" w:eastAsia="zh-CN"/>
        </w:rPr>
        <w:t>8</w:t>
      </w:r>
      <w:r>
        <w:rPr>
          <w:rFonts w:hint="eastAsia" w:ascii="宋体" w:hAnsi="宋体" w:cs="宋体"/>
          <w:b/>
          <w:sz w:val="32"/>
          <w:szCs w:val="32"/>
        </w:rPr>
        <w:t>月</w:t>
      </w:r>
    </w:p>
    <w:p>
      <w:pPr>
        <w:jc w:val="center"/>
        <w:rPr>
          <w:rFonts w:ascii="楷体" w:hAnsi="楷体" w:eastAsia="楷体" w:cs="仿宋"/>
          <w:b/>
          <w:bCs/>
          <w:sz w:val="28"/>
          <w:szCs w:val="28"/>
          <w:u w:val="single"/>
        </w:rPr>
      </w:pPr>
      <w:r>
        <w:rPr>
          <w:rFonts w:hint="eastAsia" w:ascii="楷体" w:hAnsi="楷体" w:eastAsia="楷体"/>
          <w:sz w:val="44"/>
          <w:szCs w:val="44"/>
        </w:rPr>
        <w:t>第一章 比选邀请函</w:t>
      </w:r>
      <w:bookmarkStart w:id="0" w:name="_Toc478669136"/>
      <w:bookmarkEnd w:id="0"/>
    </w:p>
    <w:p>
      <w:pPr>
        <w:rPr>
          <w:rFonts w:ascii="楷体" w:hAnsi="楷体" w:eastAsia="楷体" w:cs="仿宋"/>
          <w:b/>
          <w:bCs/>
          <w:sz w:val="28"/>
          <w:szCs w:val="28"/>
        </w:rPr>
      </w:pPr>
      <w:r>
        <w:rPr>
          <w:rFonts w:hint="eastAsia" w:ascii="楷体" w:hAnsi="楷体" w:eastAsia="楷体" w:cs="仿宋"/>
          <w:b/>
          <w:bCs/>
          <w:sz w:val="28"/>
          <w:szCs w:val="28"/>
        </w:rPr>
        <w:t>一、比选条件</w:t>
      </w:r>
    </w:p>
    <w:p>
      <w:pPr>
        <w:spacing w:line="20" w:lineRule="atLeast"/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为满足本公司业务需要，现以公开比选的方式确定</w:t>
      </w:r>
      <w:r>
        <w:rPr>
          <w:rFonts w:hint="eastAsia" w:ascii="楷体" w:hAnsi="楷体" w:eastAsia="楷体" w:cs="仿宋"/>
          <w:sz w:val="28"/>
          <w:szCs w:val="28"/>
          <w:u w:val="single"/>
        </w:rPr>
        <w:t xml:space="preserve"> 成都金科博翠山项目PC构件吊装外包</w:t>
      </w:r>
      <w:r>
        <w:rPr>
          <w:rFonts w:hint="eastAsia" w:ascii="楷体" w:hAnsi="楷体" w:eastAsia="楷体" w:cs="仿宋"/>
          <w:sz w:val="28"/>
          <w:szCs w:val="28"/>
        </w:rPr>
        <w:t>的单位，诚邀符合比选要求的单位参加。</w:t>
      </w:r>
    </w:p>
    <w:p>
      <w:pPr>
        <w:spacing w:line="20" w:lineRule="atLeast"/>
        <w:rPr>
          <w:rFonts w:ascii="楷体" w:hAnsi="楷体" w:eastAsia="楷体" w:cs="仿宋"/>
          <w:b/>
          <w:bCs/>
          <w:sz w:val="28"/>
          <w:szCs w:val="28"/>
        </w:rPr>
      </w:pPr>
      <w:bookmarkStart w:id="1" w:name="_Toc478669137"/>
      <w:bookmarkEnd w:id="1"/>
      <w:r>
        <w:rPr>
          <w:rFonts w:hint="eastAsia" w:ascii="楷体" w:hAnsi="楷体" w:eastAsia="楷体" w:cs="仿宋"/>
          <w:b/>
          <w:bCs/>
          <w:sz w:val="28"/>
          <w:szCs w:val="28"/>
        </w:rPr>
        <w:t>二、比选范围：</w:t>
      </w:r>
    </w:p>
    <w:p>
      <w:pPr>
        <w:spacing w:line="20" w:lineRule="atLeast"/>
        <w:ind w:firstLine="280" w:firstLineChars="1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1、单价、数量及税额表：</w:t>
      </w:r>
    </w:p>
    <w:tbl>
      <w:tblPr>
        <w:tblStyle w:val="7"/>
        <w:tblpPr w:leftFromText="180" w:rightFromText="180" w:vertAnchor="text" w:horzAnchor="page" w:tblpX="1987" w:tblpY="10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732"/>
        <w:gridCol w:w="2250"/>
        <w:gridCol w:w="675"/>
        <w:gridCol w:w="1500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3" w:type="dxa"/>
            <w:noWrap w:val="0"/>
            <w:vAlign w:val="center"/>
          </w:tcPr>
          <w:p>
            <w:pPr>
              <w:widowControl/>
              <w:jc w:val="center"/>
              <w:rPr>
                <w:rFonts w:ascii="Songti SC Regular" w:hAnsi="Songti SC Regular" w:eastAsia="Songti SC Regular" w:cs="宋体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宋体"/>
                <w:kern w:val="0"/>
                <w:sz w:val="24"/>
              </w:rPr>
              <w:t>序号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widowControl/>
              <w:jc w:val="center"/>
              <w:rPr>
                <w:rFonts w:ascii="Songti SC Regular" w:hAnsi="Songti SC Regular" w:eastAsia="Songti SC Regular" w:cs="宋体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宋体"/>
                <w:kern w:val="0"/>
                <w:sz w:val="24"/>
              </w:rPr>
              <w:t>名 称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ascii="Songti SC Regular" w:hAnsi="Songti SC Regular" w:eastAsia="Songti SC Regular" w:cs="宋体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宋体"/>
                <w:kern w:val="0"/>
                <w:sz w:val="24"/>
              </w:rPr>
              <w:t>规格型号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widowControl/>
              <w:jc w:val="center"/>
              <w:rPr>
                <w:rFonts w:ascii="Songti SC Regular" w:hAnsi="Songti SC Regular" w:eastAsia="Songti SC Regular" w:cs="宋体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宋体"/>
                <w:kern w:val="0"/>
                <w:sz w:val="24"/>
              </w:rPr>
              <w:t>单位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jc w:val="center"/>
              <w:rPr>
                <w:rFonts w:ascii="Songti SC Regular" w:hAnsi="Songti SC Regular" w:eastAsia="Songti SC Regular" w:cs="宋体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宋体"/>
                <w:kern w:val="0"/>
                <w:sz w:val="24"/>
              </w:rPr>
              <w:t>暂定数量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widowControl/>
              <w:jc w:val="center"/>
              <w:rPr>
                <w:rFonts w:ascii="Songti SC Regular" w:hAnsi="Songti SC Regular" w:eastAsia="Songti SC Regular" w:cs="宋体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宋体"/>
                <w:kern w:val="0"/>
                <w:sz w:val="24"/>
              </w:rPr>
              <w:t>税率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3" w:type="dxa"/>
            <w:noWrap w:val="0"/>
            <w:vAlign w:val="center"/>
          </w:tcPr>
          <w:p>
            <w:pPr>
              <w:widowControl/>
              <w:jc w:val="center"/>
              <w:rPr>
                <w:rFonts w:ascii="Songti SC Regular" w:hAnsi="Songti SC Regular" w:eastAsia="Songti SC Regular" w:cs="宋体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宋体"/>
                <w:kern w:val="0"/>
                <w:sz w:val="24"/>
              </w:rPr>
              <w:t>1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jc w:val="center"/>
              <w:rPr>
                <w:rFonts w:ascii="Songti SC Regular" w:hAnsi="Songti SC Regular" w:eastAsia="Songti SC Regular" w:cs="仿宋"/>
                <w:sz w:val="24"/>
              </w:rPr>
            </w:pPr>
            <w:r>
              <w:rPr>
                <w:rFonts w:hint="eastAsia" w:ascii="Songti SC Regular" w:hAnsi="Songti SC Regular" w:eastAsia="Songti SC Regular" w:cs="仿宋"/>
                <w:sz w:val="24"/>
              </w:rPr>
              <w:t>PC构件安装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ascii="Songti SC Regular" w:hAnsi="Songti SC Regular" w:eastAsia="Songti SC Regular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仿宋"/>
                <w:sz w:val="24"/>
              </w:rPr>
              <w:t>以图纸尺寸为准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Songti SC Regular" w:hAnsi="Songti SC Regular" w:eastAsia="Songti SC Regular" w:cs="宋体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宋体"/>
                <w:kern w:val="0"/>
                <w:sz w:val="24"/>
              </w:rPr>
              <w:t>M³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ascii="Songti SC Regular" w:hAnsi="Songti SC Regular" w:eastAsia="Songti SC Regular" w:cs="宋体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宋体"/>
                <w:kern w:val="0"/>
                <w:sz w:val="24"/>
              </w:rPr>
              <w:t>4500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widowControl/>
              <w:jc w:val="center"/>
              <w:rPr>
                <w:rFonts w:ascii="Songti SC Regular" w:hAnsi="Songti SC Regular" w:eastAsia="Songti SC Regular" w:cs="宋体"/>
                <w:kern w:val="0"/>
                <w:sz w:val="24"/>
              </w:rPr>
            </w:pPr>
            <w:r>
              <w:rPr>
                <w:rFonts w:hint="eastAsia" w:ascii="Songti SC Regular" w:hAnsi="Songti SC Regular" w:eastAsia="Songti SC Regular" w:cs="宋体"/>
                <w:kern w:val="0"/>
                <w:sz w:val="24"/>
              </w:rPr>
              <w:t>9%</w:t>
            </w:r>
          </w:p>
        </w:tc>
      </w:tr>
    </w:tbl>
    <w:p>
      <w:pPr>
        <w:spacing w:line="20" w:lineRule="atLeast"/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注：本批次比选数量为暂定数量，不作为最终结算依据。比选人有权根据工程实际需求进行数量调整，且定价方式不变，最终结算数量以比选人验收合格的数量为准。</w:t>
      </w:r>
    </w:p>
    <w:p>
      <w:pPr>
        <w:numPr>
          <w:ilvl w:val="0"/>
          <w:numId w:val="1"/>
        </w:numPr>
        <w:spacing w:line="20" w:lineRule="atLeast"/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工期按照建设单位和比选人制定的施工进度计划，比选申请人认真组织实施，除不可抗拒的因素外，必须按期完成。需要连续作业施工，并按施工顺序做好工序穿插作业的交接安排。</w:t>
      </w:r>
    </w:p>
    <w:p>
      <w:pPr>
        <w:spacing w:line="20" w:lineRule="atLeast"/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3、</w:t>
      </w:r>
      <w:r>
        <w:rPr>
          <w:rFonts w:hint="eastAsia" w:ascii="楷体" w:hAnsi="楷体" w:eastAsia="楷体" w:cs="仿宋"/>
          <w:sz w:val="28"/>
          <w:szCs w:val="28"/>
          <w:highlight w:val="none"/>
          <w:lang w:eastAsia="zh-CN"/>
        </w:rPr>
        <w:t>项目</w:t>
      </w:r>
      <w:r>
        <w:rPr>
          <w:rFonts w:hint="eastAsia" w:ascii="楷体" w:hAnsi="楷体" w:eastAsia="楷体" w:cs="仿宋"/>
          <w:sz w:val="28"/>
          <w:szCs w:val="28"/>
          <w:highlight w:val="none"/>
        </w:rPr>
        <w:t>地点</w:t>
      </w:r>
      <w:r>
        <w:rPr>
          <w:rFonts w:hint="eastAsia" w:ascii="楷体" w:hAnsi="楷体" w:eastAsia="楷体" w:cs="仿宋"/>
          <w:sz w:val="28"/>
          <w:szCs w:val="28"/>
        </w:rPr>
        <w:t>：成都金科博翠山项目工地，具体地点由比选人指定。</w:t>
      </w:r>
    </w:p>
    <w:p>
      <w:pPr>
        <w:ind w:firstLine="281" w:firstLineChars="100"/>
        <w:rPr>
          <w:rFonts w:ascii="楷体" w:hAnsi="楷体" w:eastAsia="楷体" w:cs="仿宋"/>
          <w:b/>
          <w:bCs/>
          <w:sz w:val="28"/>
          <w:szCs w:val="28"/>
        </w:rPr>
      </w:pPr>
      <w:bookmarkStart w:id="2" w:name="_Toc478669138"/>
      <w:bookmarkEnd w:id="2"/>
      <w:r>
        <w:rPr>
          <w:rFonts w:hint="eastAsia" w:ascii="楷体" w:hAnsi="楷体" w:eastAsia="楷体" w:cs="仿宋"/>
          <w:b/>
          <w:bCs/>
          <w:sz w:val="28"/>
          <w:szCs w:val="28"/>
        </w:rPr>
        <w:t>三、比选申请人资格要求</w:t>
      </w:r>
    </w:p>
    <w:p>
      <w:pPr>
        <w:widowControl/>
        <w:ind w:left="-61" w:leftChars="-29" w:firstLine="627" w:firstLineChars="224"/>
        <w:rPr>
          <w:rFonts w:ascii="楷体" w:hAnsi="楷体" w:eastAsia="楷体" w:cs="仿宋"/>
          <w:sz w:val="28"/>
          <w:szCs w:val="28"/>
        </w:rPr>
      </w:pPr>
      <w:bookmarkStart w:id="3" w:name="_Toc139685399"/>
      <w:bookmarkStart w:id="4" w:name="_Toc241399952"/>
      <w:bookmarkStart w:id="5" w:name="_Toc259613867"/>
      <w:r>
        <w:rPr>
          <w:rFonts w:hint="eastAsia" w:ascii="楷体" w:hAnsi="楷体" w:eastAsia="楷体" w:cs="仿宋"/>
          <w:sz w:val="28"/>
          <w:szCs w:val="28"/>
        </w:rPr>
        <w:t>1、具有国内注册的独立法人资格，能独立承担民事责任；</w:t>
      </w:r>
    </w:p>
    <w:p>
      <w:pPr>
        <w:widowControl/>
        <w:ind w:left="-61" w:leftChars="-29" w:firstLine="627" w:firstLineChars="224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2、比选申请人经营范围须包含建筑劳务分包经营范围；</w:t>
      </w:r>
    </w:p>
    <w:p>
      <w:pPr>
        <w:pStyle w:val="2"/>
        <w:ind w:firstLine="56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3、提供建筑企业资质证书劳务施工（等级不限）；</w:t>
      </w:r>
    </w:p>
    <w:p>
      <w:pPr>
        <w:widowControl/>
        <w:ind w:left="-61" w:leftChars="-29" w:firstLine="627" w:firstLineChars="224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4、提供安全生产许可证，许可范围：建筑施工或建筑劳务施工</w:t>
      </w:r>
    </w:p>
    <w:p>
      <w:pPr>
        <w:widowControl/>
        <w:ind w:left="-61" w:leftChars="-29" w:firstLine="627" w:firstLineChars="224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5、本次招标不接收联合体投标；</w:t>
      </w:r>
    </w:p>
    <w:p>
      <w:pPr>
        <w:ind w:firstLine="565" w:firstLineChars="202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6、法律、行政法规规定的其他条件；</w:t>
      </w:r>
    </w:p>
    <w:p>
      <w:pPr>
        <w:pStyle w:val="2"/>
        <w:ind w:firstLine="560" w:firstLineChars="200"/>
        <w:rPr>
          <w:rFonts w:eastAsia="楷体"/>
          <w:highlight w:val="none"/>
        </w:rPr>
      </w:pPr>
      <w:r>
        <w:rPr>
          <w:rFonts w:hint="eastAsia" w:ascii="楷体" w:hAnsi="楷体" w:eastAsia="楷体" w:cs="仿宋"/>
          <w:sz w:val="28"/>
          <w:szCs w:val="28"/>
        </w:rPr>
        <w:t>7、</w:t>
      </w:r>
      <w:r>
        <w:rPr>
          <w:rFonts w:hint="eastAsia" w:ascii="楷体" w:hAnsi="楷体" w:eastAsia="楷体" w:cs="仿宋"/>
          <w:sz w:val="28"/>
          <w:szCs w:val="28"/>
          <w:highlight w:val="none"/>
        </w:rPr>
        <w:t>本比选项目支持邮寄比选申请文件。</w:t>
      </w:r>
    </w:p>
    <w:bookmarkEnd w:id="3"/>
    <w:bookmarkEnd w:id="4"/>
    <w:bookmarkEnd w:id="5"/>
    <w:p>
      <w:pPr>
        <w:rPr>
          <w:rFonts w:ascii="楷体" w:hAnsi="楷体" w:eastAsia="楷体" w:cs="仿宋"/>
          <w:b/>
          <w:bCs/>
          <w:sz w:val="28"/>
          <w:szCs w:val="28"/>
          <w:highlight w:val="none"/>
        </w:rPr>
      </w:pPr>
      <w:r>
        <w:rPr>
          <w:rFonts w:hint="eastAsia" w:ascii="楷体" w:hAnsi="楷体" w:eastAsia="楷体" w:cs="仿宋"/>
          <w:b/>
          <w:bCs/>
          <w:sz w:val="28"/>
          <w:szCs w:val="28"/>
          <w:highlight w:val="none"/>
        </w:rPr>
        <w:t>四、比选文件的获取和比选申请文件的递交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  <w:highlight w:val="none"/>
        </w:rPr>
      </w:pPr>
      <w:r>
        <w:rPr>
          <w:rFonts w:hint="eastAsia" w:ascii="楷体" w:hAnsi="楷体" w:eastAsia="楷体" w:cs="仿宋"/>
          <w:sz w:val="28"/>
          <w:szCs w:val="28"/>
          <w:highlight w:val="none"/>
        </w:rPr>
        <w:t xml:space="preserve">1、凡满足本公告规定的比选申请人资格要求并有意参加比选的，请于2020年 </w:t>
      </w:r>
      <w:r>
        <w:rPr>
          <w:rFonts w:hint="eastAsia" w:ascii="楷体" w:hAnsi="楷体" w:eastAsia="楷体" w:cs="仿宋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楷体" w:hAnsi="楷体" w:eastAsia="楷体" w:cs="仿宋"/>
          <w:sz w:val="28"/>
          <w:szCs w:val="28"/>
          <w:highlight w:val="none"/>
        </w:rPr>
        <w:t xml:space="preserve">月 </w:t>
      </w:r>
      <w:r>
        <w:rPr>
          <w:rFonts w:hint="eastAsia" w:ascii="楷体" w:hAnsi="楷体" w:eastAsia="楷体" w:cs="仿宋"/>
          <w:sz w:val="28"/>
          <w:szCs w:val="28"/>
          <w:highlight w:val="none"/>
          <w:lang w:val="en-US" w:eastAsia="zh-CN"/>
        </w:rPr>
        <w:t>14</w:t>
      </w:r>
      <w:r>
        <w:rPr>
          <w:rFonts w:hint="eastAsia" w:ascii="楷体" w:hAnsi="楷体" w:eastAsia="楷体" w:cs="仿宋"/>
          <w:sz w:val="28"/>
          <w:szCs w:val="28"/>
          <w:highlight w:val="none"/>
        </w:rPr>
        <w:t xml:space="preserve"> 日至2020年</w:t>
      </w:r>
      <w:r>
        <w:rPr>
          <w:rFonts w:hint="eastAsia" w:ascii="楷体" w:hAnsi="楷体" w:eastAsia="楷体" w:cs="仿宋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楷体" w:hAnsi="楷体" w:eastAsia="楷体" w:cs="仿宋"/>
          <w:sz w:val="28"/>
          <w:szCs w:val="28"/>
          <w:highlight w:val="none"/>
        </w:rPr>
        <w:t xml:space="preserve"> 月</w:t>
      </w:r>
      <w:r>
        <w:rPr>
          <w:rFonts w:hint="eastAsia" w:ascii="楷体" w:hAnsi="楷体" w:eastAsia="楷体" w:cs="仿宋"/>
          <w:sz w:val="28"/>
          <w:szCs w:val="28"/>
          <w:highlight w:val="none"/>
          <w:lang w:val="en-US" w:eastAsia="zh-CN"/>
        </w:rPr>
        <w:t>18</w:t>
      </w:r>
      <w:r>
        <w:rPr>
          <w:rFonts w:hint="eastAsia" w:ascii="楷体" w:hAnsi="楷体" w:eastAsia="楷体" w:cs="仿宋"/>
          <w:sz w:val="28"/>
          <w:szCs w:val="28"/>
          <w:highlight w:val="none"/>
        </w:rPr>
        <w:t>日免费获取比选文件，凭经办人身份证、法定代表人签发的针对本项目购买比选文件授权委托书和营业执照，到泸州市纳溪区棉花坡皮匠屋基PC工厂办公楼2楼生产部办理。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  <w:highlight w:val="none"/>
        </w:rPr>
      </w:pPr>
      <w:r>
        <w:rPr>
          <w:rFonts w:hint="eastAsia" w:ascii="楷体" w:hAnsi="楷体" w:eastAsia="楷体" w:cs="仿宋"/>
          <w:sz w:val="28"/>
          <w:szCs w:val="28"/>
          <w:highlight w:val="none"/>
        </w:rPr>
        <w:t>2、比选申请文件递交的截止时间（</w:t>
      </w:r>
      <w:r>
        <w:rPr>
          <w:rFonts w:hint="eastAsia" w:ascii="楷体" w:hAnsi="楷体" w:eastAsia="楷体" w:cs="仿宋"/>
          <w:sz w:val="28"/>
          <w:szCs w:val="28"/>
          <w:highlight w:val="none"/>
          <w:lang w:eastAsia="zh-CN"/>
        </w:rPr>
        <w:t>即开标</w:t>
      </w:r>
      <w:r>
        <w:rPr>
          <w:rFonts w:hint="eastAsia" w:ascii="楷体" w:hAnsi="楷体" w:eastAsia="楷体" w:cs="仿宋"/>
          <w:sz w:val="28"/>
          <w:szCs w:val="28"/>
          <w:highlight w:val="none"/>
        </w:rPr>
        <w:t xml:space="preserve">时间，下同）为2020年 </w:t>
      </w:r>
      <w:r>
        <w:rPr>
          <w:rFonts w:hint="eastAsia" w:ascii="楷体" w:hAnsi="楷体" w:eastAsia="楷体" w:cs="仿宋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楷体" w:hAnsi="楷体" w:eastAsia="楷体" w:cs="仿宋"/>
          <w:sz w:val="28"/>
          <w:szCs w:val="28"/>
          <w:highlight w:val="none"/>
        </w:rPr>
        <w:t xml:space="preserve"> 月 </w:t>
      </w:r>
      <w:r>
        <w:rPr>
          <w:rFonts w:hint="eastAsia" w:ascii="楷体" w:hAnsi="楷体" w:eastAsia="楷体" w:cs="仿宋"/>
          <w:sz w:val="28"/>
          <w:szCs w:val="28"/>
          <w:highlight w:val="none"/>
          <w:lang w:val="en-US" w:eastAsia="zh-CN"/>
        </w:rPr>
        <w:t>19</w:t>
      </w:r>
      <w:r>
        <w:rPr>
          <w:rFonts w:hint="eastAsia" w:ascii="楷体" w:hAnsi="楷体" w:eastAsia="楷体" w:cs="仿宋"/>
          <w:sz w:val="28"/>
          <w:szCs w:val="28"/>
          <w:highlight w:val="none"/>
        </w:rPr>
        <w:t>日</w:t>
      </w:r>
      <w:r>
        <w:rPr>
          <w:rFonts w:hint="eastAsia" w:ascii="楷体" w:hAnsi="楷体" w:eastAsia="楷体" w:cs="仿宋"/>
          <w:sz w:val="28"/>
          <w:szCs w:val="28"/>
          <w:highlight w:val="none"/>
          <w:lang w:val="en-US" w:eastAsia="zh-CN"/>
        </w:rPr>
        <w:t>16</w:t>
      </w:r>
      <w:bookmarkStart w:id="6" w:name="_GoBack"/>
      <w:bookmarkEnd w:id="6"/>
      <w:r>
        <w:rPr>
          <w:rFonts w:hint="eastAsia" w:ascii="楷体" w:hAnsi="楷体" w:eastAsia="楷体" w:cs="仿宋"/>
          <w:sz w:val="28"/>
          <w:szCs w:val="28"/>
          <w:highlight w:val="none"/>
        </w:rPr>
        <w:t xml:space="preserve"> 时30分（北京时间），比选申请文件递交地点：泸州市纳溪区棉花坡皮匠屋基PC工厂办公楼3楼会议室。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3、逾期送达的或未送达指定地点的比选申请文件，比选人不予受理。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4、比选截止时间、递交地点及内容如有变动，比选人应通知所有已购买比选文件的潜在比选申请人人，并在官网（http://ydjz.lzxljt.cn/、http://ydjz.lzxljt.cn/）发出澄清或补遗。</w:t>
      </w:r>
    </w:p>
    <w:p>
      <w:pPr>
        <w:rPr>
          <w:rFonts w:ascii="楷体" w:hAnsi="楷体" w:eastAsia="楷体" w:cs="仿宋"/>
          <w:b/>
          <w:bCs/>
          <w:sz w:val="28"/>
          <w:szCs w:val="28"/>
        </w:rPr>
      </w:pPr>
      <w:r>
        <w:rPr>
          <w:rFonts w:hint="eastAsia" w:ascii="楷体" w:hAnsi="楷体" w:eastAsia="楷体" w:cs="仿宋"/>
          <w:b/>
          <w:bCs/>
          <w:sz w:val="28"/>
          <w:szCs w:val="28"/>
        </w:rPr>
        <w:t>五、保证金：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1</w:t>
      </w:r>
      <w:r>
        <w:rPr>
          <w:rFonts w:hint="eastAsia" w:ascii="楷体" w:hAnsi="楷体" w:eastAsia="楷体" w:cs="仿宋"/>
          <w:b/>
          <w:bCs/>
          <w:sz w:val="28"/>
          <w:szCs w:val="28"/>
        </w:rPr>
        <w:t>、</w:t>
      </w:r>
      <w:r>
        <w:rPr>
          <w:rFonts w:hint="eastAsia" w:ascii="楷体" w:hAnsi="楷体" w:eastAsia="楷体" w:cs="仿宋"/>
          <w:sz w:val="28"/>
          <w:szCs w:val="28"/>
        </w:rPr>
        <w:t>比选保证金为2000元，比选截止前未缴纳视为无效报价，开标后7日内无息退还。未中选的比选申请人的比选保证金在开标后10个工作日内无息退还。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有下列情形之一的，比选保证金将不予退还：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（1）开标后在比选申请有效期内撤销其比选申请文件；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（2）开标时，扰乱会场秩序，经劝阻无效；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（3）由于比选申请人的原因致使比选工作不能顺利进行的；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（4）比选申请人以他人名义投标、串通投标、哄抬标价、以行贿手段谋取中选或者以其它弄虚作假方式投标的；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 xml:space="preserve">（5）有关法律、法规规定的其它不予退还比选保证金的情形。     </w:t>
      </w:r>
    </w:p>
    <w:p>
      <w:pPr>
        <w:ind w:firstLine="560" w:firstLineChars="200"/>
        <w:rPr>
          <w:rFonts w:ascii="楷体" w:hAnsi="楷体" w:eastAsia="楷体" w:cs="仿宋"/>
          <w:b/>
          <w:bCs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2、履约保证金2000元，中选人比选保证金直接转为履约保证金，合同履行完毕并经结算后7日内无息退还。</w:t>
      </w:r>
    </w:p>
    <w:p>
      <w:pPr>
        <w:rPr>
          <w:rFonts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六、评比办法及最高限价</w:t>
      </w:r>
    </w:p>
    <w:p>
      <w:pPr>
        <w:ind w:firstLine="560" w:firstLineChars="200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采用最低投标价法，本次比选最高限价：170元/m³，超过最高限价的报价视为无效报价。</w:t>
      </w:r>
    </w:p>
    <w:p>
      <w:pPr>
        <w:rPr>
          <w:rFonts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七、发布公告的媒介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本次比选公告在泸州市兴泸投资集团有限公司官网（https://www.lzxljt.cn/）、泸州市兴泸远大建筑科技有限公司官网（https://ydjz.lzxljt.cn/）</w:t>
      </w:r>
      <w:r>
        <w:rPr>
          <w:rFonts w:hint="eastAsia" w:ascii="楷体" w:hAnsi="楷体" w:eastAsia="楷体" w:cs="仿宋"/>
          <w:sz w:val="28"/>
          <w:szCs w:val="28"/>
        </w:rPr>
        <w:t>上发布。</w:t>
      </w:r>
    </w:p>
    <w:p>
      <w:pPr>
        <w:rPr>
          <w:rFonts w:ascii="楷体" w:hAnsi="楷体" w:eastAsia="楷体" w:cs="仿宋"/>
          <w:b/>
          <w:bCs/>
          <w:sz w:val="28"/>
          <w:szCs w:val="28"/>
        </w:rPr>
      </w:pPr>
      <w:r>
        <w:rPr>
          <w:rFonts w:hint="eastAsia" w:ascii="楷体" w:hAnsi="楷体" w:eastAsia="楷体" w:cs="仿宋"/>
          <w:b/>
          <w:bCs/>
          <w:sz w:val="28"/>
          <w:szCs w:val="28"/>
        </w:rPr>
        <w:t>八、联系方式</w:t>
      </w:r>
    </w:p>
    <w:p>
      <w:pPr>
        <w:ind w:firstLine="490" w:firstLineChars="175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  <w:lang w:eastAsia="zh-CN"/>
        </w:rPr>
        <w:t>比</w:t>
      </w:r>
      <w:r>
        <w:rPr>
          <w:rFonts w:hint="eastAsia" w:ascii="楷体" w:hAnsi="楷体" w:eastAsia="楷体" w:cs="仿宋"/>
          <w:sz w:val="28"/>
          <w:szCs w:val="28"/>
        </w:rPr>
        <w:t xml:space="preserve"> 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选</w:t>
      </w:r>
      <w:r>
        <w:rPr>
          <w:rFonts w:hint="eastAsia" w:ascii="楷体" w:hAnsi="楷体" w:eastAsia="楷体" w:cs="仿宋"/>
          <w:sz w:val="28"/>
          <w:szCs w:val="28"/>
        </w:rPr>
        <w:t xml:space="preserve"> 人：泸州市兴泸远大建筑科技有限公司 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 xml:space="preserve">地 址：泸州市纳溪区科技园西部绿色智能住宅产业园区                           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邮 编：646000</w:t>
      </w:r>
    </w:p>
    <w:p>
      <w:pPr>
        <w:ind w:firstLine="490" w:firstLineChars="175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 xml:space="preserve">联 系 人：田先生  </w:t>
      </w:r>
    </w:p>
    <w:p>
      <w:pPr>
        <w:ind w:firstLine="490" w:firstLineChars="175"/>
      </w:pPr>
      <w:r>
        <w:rPr>
          <w:rFonts w:hint="eastAsia" w:ascii="楷体" w:hAnsi="楷体" w:eastAsia="楷体" w:cs="仿宋"/>
          <w:sz w:val="28"/>
          <w:szCs w:val="28"/>
        </w:rPr>
        <w:t>联系电话：0830-4127690/17360566698</w:t>
      </w:r>
    </w:p>
    <w:sectPr>
      <w:headerReference r:id="rId8" w:type="default"/>
      <w:footerReference r:id="rId9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ongti SC Regular">
    <w:altName w:val="华文细黑"/>
    <w:panose1 w:val="02010600040101010101"/>
    <w:charset w:val="50"/>
    <w:family w:val="auto"/>
    <w:pitch w:val="default"/>
    <w:sig w:usb0="00000000" w:usb1="00000000" w:usb2="00000010" w:usb3="00000000" w:csb0="000400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9</w:t>
    </w:r>
    <w:r>
      <w:fldChar w:fldCharType="end"/>
    </w:r>
  </w:p>
  <w:p>
    <w:pPr>
      <w:pStyle w:val="5"/>
      <w:ind w:right="360"/>
      <w:jc w:val="center"/>
      <w:rPr>
        <w:kern w:val="0"/>
        <w:szCs w:val="21"/>
      </w:rPr>
    </w:pPr>
  </w:p>
  <w:p>
    <w:pPr>
      <w:pStyle w:val="5"/>
      <w:ind w:right="360"/>
      <w:jc w:val="center"/>
    </w:pPr>
    <w:r>
      <w:rPr>
        <w:rFonts w:hint="eastAsia"/>
        <w:kern w:val="0"/>
        <w:szCs w:val="21"/>
      </w:rPr>
      <w:t>第 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25</w:t>
    </w:r>
    <w:r>
      <w:fldChar w:fldCharType="end"/>
    </w:r>
  </w:p>
  <w:p>
    <w:pPr>
      <w:pStyle w:val="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9"/>
      </w:rPr>
    </w:pPr>
  </w:p>
  <w:p>
    <w:pPr>
      <w:pStyle w:val="5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2</w:t>
    </w:r>
    <w:r>
      <w:fldChar w:fldCharType="end"/>
    </w:r>
  </w:p>
  <w:p>
    <w:pPr>
      <w:pStyle w:val="5"/>
      <w:ind w:right="360"/>
      <w:jc w:val="center"/>
      <w:rPr>
        <w:rFonts w:hint="eastAsia"/>
        <w:kern w:val="0"/>
        <w:szCs w:val="21"/>
      </w:rPr>
    </w:pPr>
  </w:p>
  <w:p>
    <w:pPr>
      <w:pStyle w:val="5"/>
      <w:ind w:right="360"/>
      <w:jc w:val="center"/>
    </w:pPr>
    <w:r>
      <w:rPr>
        <w:rFonts w:hint="eastAsia"/>
        <w:kern w:val="0"/>
        <w:szCs w:val="21"/>
      </w:rPr>
      <w:t>第 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Fonts w:hint="eastAsia"/>
      </w:rPr>
      <w:t>四川省工商行政管理局数据中心建设项目政府采购—比选文件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80604D"/>
    <w:multiLevelType w:val="singleLevel"/>
    <w:tmpl w:val="B380604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D41882"/>
    <w:rsid w:val="195121F4"/>
    <w:rsid w:val="19F86262"/>
    <w:rsid w:val="1F705769"/>
    <w:rsid w:val="203A1641"/>
    <w:rsid w:val="20A316EF"/>
    <w:rsid w:val="26FB0424"/>
    <w:rsid w:val="27B009D0"/>
    <w:rsid w:val="3EC956CC"/>
    <w:rsid w:val="4E3545B3"/>
    <w:rsid w:val="53593787"/>
    <w:rsid w:val="722862E4"/>
    <w:rsid w:val="76783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4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4">
    <w:name w:val="Normal Indent"/>
    <w:basedOn w:val="1"/>
    <w:qFormat/>
    <w:uiPriority w:val="0"/>
    <w:pPr>
      <w:overflowPunct w:val="0"/>
      <w:spacing w:line="360" w:lineRule="auto"/>
      <w:ind w:firstLine="420"/>
    </w:pPr>
    <w:rPr>
      <w:rFonts w:ascii="宋体" w:hAnsi="宋体" w:eastAsia="仿宋_GB2312"/>
      <w:sz w:val="24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9">
    <w:name w:val="page number"/>
    <w:basedOn w:val="8"/>
    <w:qFormat/>
    <w:uiPriority w:val="0"/>
  </w:style>
  <w:style w:type="paragraph" w:customStyle="1" w:styleId="10">
    <w:name w:val="_Style 1"/>
    <w:basedOn w:val="1"/>
    <w:qFormat/>
    <w:uiPriority w:val="0"/>
    <w:pPr>
      <w:ind w:firstLine="200" w:firstLineChars="200"/>
    </w:pPr>
    <w:rPr>
      <w:rFonts w:ascii="Calibri" w:hAnsi="Calibri" w:eastAsia="宋体" w:cs="Times New Roman"/>
      <w:szCs w:val="22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2020-07-07T09:07:00Z</dcterms:created>
  <dc:creator>admin</dc:creator>
  <cp:lastModifiedBy>TH、</cp:lastModifiedBy>
  <dcterms:modified xsi:type="dcterms:W3CDTF">2020-08-14T03:10:19Z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